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2F7" w:rsidRPr="00E372F7" w:rsidRDefault="001E3ED6" w:rsidP="00E372F7">
      <w:pPr>
        <w:spacing w:afterLines="50" w:after="156"/>
        <w:jc w:val="center"/>
        <w:rPr>
          <w:rFonts w:ascii="Times New Roman" w:eastAsia="宋体" w:hAnsi="Times New Roman" w:cs="Times New Roman"/>
          <w:color w:val="000000"/>
          <w:kern w:val="0"/>
          <w:szCs w:val="22"/>
          <w14:ligatures w14:val="none"/>
        </w:rPr>
      </w:pPr>
      <w:bookmarkStart w:id="0" w:name="_Hlk158906222"/>
      <w:r w:rsidRPr="001E3ED6">
        <w:rPr>
          <w:rFonts w:ascii="Times New Roman" w:eastAsia="宋体" w:hAnsi="Times New Roman"/>
          <w:b/>
          <w:bCs/>
          <w:color w:val="000000"/>
          <w:kern w:val="0"/>
        </w:rPr>
        <w:t xml:space="preserve">Supplementary </w:t>
      </w:r>
      <w:r w:rsidR="00E372F7">
        <w:rPr>
          <w:rFonts w:ascii="Times New Roman" w:eastAsia="宋体" w:hAnsi="Times New Roman"/>
          <w:b/>
          <w:bCs/>
          <w:color w:val="000000"/>
          <w:kern w:val="0"/>
        </w:rPr>
        <w:t>Table 1.</w:t>
      </w:r>
      <w:r w:rsidR="00E372F7">
        <w:rPr>
          <w:rFonts w:hint="eastAsia"/>
        </w:rPr>
        <w:t xml:space="preserve"> </w:t>
      </w:r>
      <w:r w:rsidR="00E372F7">
        <w:rPr>
          <w:rFonts w:ascii="Times New Roman" w:eastAsia="宋体" w:hAnsi="Times New Roman"/>
          <w:b/>
          <w:bCs/>
          <w:color w:val="000000"/>
          <w:kern w:val="0"/>
        </w:rPr>
        <w:t>The ASPRs of NRVHD- and RVHD- related HF burden among G20 countries in 2021.</w:t>
      </w:r>
    </w:p>
    <w:tbl>
      <w:tblPr>
        <w:tblW w:w="13842" w:type="dxa"/>
        <w:jc w:val="center"/>
        <w:tblLook w:val="04A0" w:firstRow="1" w:lastRow="0" w:firstColumn="1" w:lastColumn="0" w:noHBand="0" w:noVBand="1"/>
      </w:tblPr>
      <w:tblGrid>
        <w:gridCol w:w="2464"/>
        <w:gridCol w:w="1390"/>
        <w:gridCol w:w="283"/>
        <w:gridCol w:w="730"/>
        <w:gridCol w:w="4090"/>
        <w:gridCol w:w="283"/>
        <w:gridCol w:w="851"/>
        <w:gridCol w:w="3751"/>
      </w:tblGrid>
      <w:tr w:rsidR="00E372F7" w:rsidTr="003D7129">
        <w:trPr>
          <w:trHeight w:val="517"/>
          <w:jc w:val="center"/>
        </w:trPr>
        <w:tc>
          <w:tcPr>
            <w:tcW w:w="3854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Countries</w:t>
            </w:r>
          </w:p>
        </w:tc>
        <w:tc>
          <w:tcPr>
            <w:tcW w:w="283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000000"/>
              <w:bottom w:val="single" w:sz="8" w:space="0" w:color="000000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Prevalence rate of NRVHD-related HF in 2021</w:t>
            </w:r>
          </w:p>
        </w:tc>
        <w:tc>
          <w:tcPr>
            <w:tcW w:w="283" w:type="dxa"/>
            <w:tcBorders>
              <w:top w:val="single" w:sz="12" w:space="0" w:color="000000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602" w:type="dxa"/>
            <w:gridSpan w:val="2"/>
            <w:tcBorders>
              <w:top w:val="single" w:sz="12" w:space="0" w:color="000000"/>
              <w:bottom w:val="single" w:sz="8" w:space="0" w:color="000000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Prevalence rate of RVHD-related HF in 2021</w:t>
            </w:r>
          </w:p>
        </w:tc>
      </w:tr>
      <w:tr w:rsidR="00E372F7" w:rsidTr="003D7129">
        <w:trPr>
          <w:trHeight w:val="665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Full name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 xml:space="preserve">Abbreviated </w:t>
            </w:r>
          </w:p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name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Rank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95% UI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>(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per 100,000 person-year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>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Rank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95% UI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>(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per 100,000 person-year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>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single" w:sz="12" w:space="0" w:color="000000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Group of 20</w:t>
            </w:r>
          </w:p>
        </w:tc>
        <w:tc>
          <w:tcPr>
            <w:tcW w:w="1390" w:type="dxa"/>
            <w:tcBorders>
              <w:top w:val="single" w:sz="12" w:space="0" w:color="000000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G20</w:t>
            </w:r>
          </w:p>
        </w:tc>
        <w:tc>
          <w:tcPr>
            <w:tcW w:w="283" w:type="dxa"/>
            <w:tcBorders>
              <w:top w:val="single" w:sz="12" w:space="0" w:color="000000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single" w:sz="12" w:space="0" w:color="000000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0" w:type="dxa"/>
            <w:tcBorders>
              <w:top w:val="single" w:sz="12" w:space="0" w:color="000000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40.51(25.92 to 62.56)</w:t>
            </w:r>
          </w:p>
        </w:tc>
        <w:tc>
          <w:tcPr>
            <w:tcW w:w="283" w:type="dxa"/>
            <w:tcBorders>
              <w:top w:val="single" w:sz="12" w:space="0" w:color="000000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single" w:sz="12" w:space="0" w:color="000000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51" w:type="dxa"/>
            <w:tcBorders>
              <w:top w:val="single" w:sz="12" w:space="0" w:color="000000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31.24(26.49 to 36.57)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European Union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EU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56.19(35.80 to 89.35)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14.46(12.02 to 17.28)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United States of America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USA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101.86(63.26 to 160.63)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12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7.50(5.99 to 9.40)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Canada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CAN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45.10(26.50 to 78.64)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16.71(13.39 to 20.17)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Mexico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MEX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12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31.01(19.85 to 48.74)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14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6.24(4.79 to 8.12)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Brazil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BRA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13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29.72(19.32 to 45.81)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11.31(9.12 to 14.15)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Argentina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ARG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66.72(43.25 to 104.80)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16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5.69(4.48 to 7.06)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China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CHN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16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19.93(12.85 to 30.44)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23.49(18.18 to 29.93)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Japan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JPN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50.60(30.52 to 82.46)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13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6.80(5.45 to 8.32)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Republic of Korea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KOR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11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33.06(19.78 to 54.18)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15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5.90(4.96 to 6.94)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Indonesia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IDN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14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20.28(13.28 to 30.72)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11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9.88(8.41 to 11.71)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India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18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10.86(7.15 to 16.63)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64.46(54.92 to 76.12)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Russian Federation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RUS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69.62(44.98 to 107.09)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18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4.96(3.60 to 6.83)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United Kingdom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GBR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55.30(33.82 to 88.47)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19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4.52(3.50 to 5.67)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France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FRA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36.12(21.73 to 59.41)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25.39(20.84 to 30.44)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Germany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DEU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53.56(32.84 to 86.21)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14.29(11.18 to 18.07)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Italy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ITA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86.27(50.15 to 141.62)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17.33(13.53 to 21.88)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Turkey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TUR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17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19.64(12.91 to 31.10)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10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11.23(9.47 to 13.18)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Australia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AUS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10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34.41(20.07 to 59.16)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16.90(14.19 to 19.61)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Saudi Arabia</w:t>
            </w:r>
          </w:p>
        </w:tc>
        <w:tc>
          <w:tcPr>
            <w:tcW w:w="139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SAU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15</w:t>
            </w: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20.18(13.09 to 31.86)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17</w:t>
            </w:r>
          </w:p>
        </w:tc>
        <w:tc>
          <w:tcPr>
            <w:tcW w:w="3751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5.49(4.56 to 6.58)</w:t>
            </w:r>
          </w:p>
        </w:tc>
      </w:tr>
      <w:tr w:rsidR="00E372F7" w:rsidTr="003D7129">
        <w:trPr>
          <w:trHeight w:val="369"/>
          <w:jc w:val="center"/>
        </w:trPr>
        <w:tc>
          <w:tcPr>
            <w:tcW w:w="2464" w:type="dxa"/>
            <w:tcBorders>
              <w:top w:val="nil"/>
              <w:left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South Africa</w:t>
            </w:r>
          </w:p>
        </w:tc>
        <w:tc>
          <w:tcPr>
            <w:tcW w:w="1390" w:type="dxa"/>
            <w:tcBorders>
              <w:top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ZAF</w:t>
            </w:r>
          </w:p>
        </w:tc>
        <w:tc>
          <w:tcPr>
            <w:tcW w:w="283" w:type="dxa"/>
            <w:tcBorders>
              <w:top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30" w:type="dxa"/>
            <w:tcBorders>
              <w:top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19</w:t>
            </w:r>
          </w:p>
        </w:tc>
        <w:tc>
          <w:tcPr>
            <w:tcW w:w="4090" w:type="dxa"/>
            <w:tcBorders>
              <w:top w:val="nil"/>
              <w:bottom w:val="single" w:sz="12" w:space="0" w:color="000000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5.60(3.60 to 9.04)</w:t>
            </w:r>
          </w:p>
        </w:tc>
        <w:tc>
          <w:tcPr>
            <w:tcW w:w="283" w:type="dxa"/>
            <w:tcBorders>
              <w:top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000000"/>
            </w:tcBorders>
            <w:shd w:val="clear" w:color="auto" w:fill="F2DCDC"/>
            <w:noWrap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3751" w:type="dxa"/>
            <w:tcBorders>
              <w:top w:val="nil"/>
              <w:bottom w:val="single" w:sz="12" w:space="0" w:color="000000"/>
              <w:right w:val="nil"/>
            </w:tcBorders>
            <w:shd w:val="clear" w:color="auto" w:fill="F2DCDC"/>
            <w:vAlign w:val="center"/>
          </w:tcPr>
          <w:p w:rsidR="00E372F7" w:rsidRDefault="00E372F7" w:rsidP="003D7129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19.96(15.06 to 26.38)</w:t>
            </w:r>
          </w:p>
        </w:tc>
      </w:tr>
    </w:tbl>
    <w:p w:rsidR="00E372F7" w:rsidRDefault="00E372F7">
      <w:pPr>
        <w:widowControl/>
        <w:rPr>
          <w:rFonts w:ascii="Times New Roman" w:eastAsia="宋体" w:hAnsi="Times New Roman" w:cs="Times New Roman"/>
          <w:color w:val="000000"/>
          <w:kern w:val="0"/>
          <w:szCs w:val="22"/>
          <w14:ligatures w14:val="none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2"/>
          <w14:ligatures w14:val="none"/>
        </w:rPr>
        <w:t>NOTE: ASPRs= age-standardized prevalence rates, HF=heart failure, NRVHD= non-rheumatic valvular heart disease, RVHD= rheumatic valvular heart disease, 95% UI= 95% uncertainty interval.</w:t>
      </w:r>
    </w:p>
    <w:p w:rsidR="00E372F7" w:rsidRDefault="00E372F7">
      <w:pPr>
        <w:widowControl/>
        <w:spacing w:after="0" w:line="240" w:lineRule="auto"/>
        <w:rPr>
          <w:rFonts w:ascii="Times New Roman" w:eastAsia="宋体" w:hAnsi="Times New Roman" w:cs="Times New Roman"/>
          <w:color w:val="000000"/>
          <w:kern w:val="0"/>
          <w:szCs w:val="22"/>
          <w14:ligatures w14:val="none"/>
        </w:rPr>
      </w:pPr>
      <w:r>
        <w:rPr>
          <w:rFonts w:ascii="Times New Roman" w:eastAsia="宋体" w:hAnsi="Times New Roman" w:cs="Times New Roman"/>
          <w:color w:val="000000"/>
          <w:kern w:val="0"/>
          <w:szCs w:val="22"/>
          <w14:ligatures w14:val="none"/>
        </w:rPr>
        <w:br w:type="page"/>
      </w:r>
    </w:p>
    <w:p w:rsidR="0041245F" w:rsidRPr="00E372F7" w:rsidRDefault="001E3ED6" w:rsidP="00E372F7">
      <w:pPr>
        <w:spacing w:afterLines="50" w:after="156" w:line="240" w:lineRule="auto"/>
        <w:jc w:val="center"/>
        <w:rPr>
          <w:rFonts w:ascii="Times New Roman" w:eastAsia="宋体" w:hAnsi="Times New Roman" w:cs="Times New Roman"/>
          <w:b/>
          <w:bCs/>
          <w:sz w:val="20"/>
          <w:szCs w:val="20"/>
          <w14:ligatures w14:val="none"/>
        </w:rPr>
      </w:pPr>
      <w:r w:rsidRPr="001E3ED6">
        <w:rPr>
          <w:rFonts w:ascii="Times New Roman" w:eastAsia="宋体" w:hAnsi="Times New Roman"/>
          <w:b/>
          <w:bCs/>
          <w:color w:val="000000"/>
          <w:kern w:val="0"/>
        </w:rPr>
        <w:lastRenderedPageBreak/>
        <w:t xml:space="preserve">Supplementary </w:t>
      </w:r>
      <w:r w:rsidR="00E372F7">
        <w:rPr>
          <w:rFonts w:ascii="Times New Roman" w:eastAsia="宋体" w:hAnsi="Times New Roman"/>
          <w:b/>
          <w:bCs/>
          <w:color w:val="000000"/>
          <w:kern w:val="0"/>
        </w:rPr>
        <w:t xml:space="preserve">Table </w:t>
      </w:r>
      <w:bookmarkStart w:id="1" w:name="_GoBack"/>
      <w:bookmarkEnd w:id="1"/>
      <w:r w:rsidR="00E372F7">
        <w:rPr>
          <w:rFonts w:ascii="Times New Roman" w:eastAsia="宋体" w:hAnsi="Times New Roman"/>
          <w:b/>
          <w:bCs/>
          <w:color w:val="000000"/>
          <w:kern w:val="0"/>
        </w:rPr>
        <w:t>2. The long-term (1990-2021) and short-term (2019-2021) Changes on ASPRs of NRVHD- and RVHD-related HF burden among G20 countries.</w:t>
      </w:r>
    </w:p>
    <w:tbl>
      <w:tblPr>
        <w:tblW w:w="14745" w:type="dxa"/>
        <w:jc w:val="center"/>
        <w:tblLook w:val="04A0" w:firstRow="1" w:lastRow="0" w:firstColumn="1" w:lastColumn="0" w:noHBand="0" w:noVBand="1"/>
      </w:tblPr>
      <w:tblGrid>
        <w:gridCol w:w="1951"/>
        <w:gridCol w:w="1418"/>
        <w:gridCol w:w="283"/>
        <w:gridCol w:w="2552"/>
        <w:gridCol w:w="283"/>
        <w:gridCol w:w="2552"/>
        <w:gridCol w:w="292"/>
        <w:gridCol w:w="2452"/>
        <w:gridCol w:w="236"/>
        <w:gridCol w:w="2726"/>
      </w:tblGrid>
      <w:tr w:rsidR="00E372F7" w:rsidTr="00E372F7">
        <w:trPr>
          <w:trHeight w:val="553"/>
          <w:jc w:val="center"/>
        </w:trPr>
        <w:tc>
          <w:tcPr>
            <w:tcW w:w="3369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Countries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387" w:type="dxa"/>
            <w:gridSpan w:val="3"/>
            <w:tcBorders>
              <w:top w:val="single" w:sz="12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 xml:space="preserve">Prevalence rate of NRVHD-related HF </w:t>
            </w:r>
            <w:r w:rsidRPr="00D04D6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burden</w:t>
            </w:r>
          </w:p>
        </w:tc>
        <w:tc>
          <w:tcPr>
            <w:tcW w:w="292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14" w:type="dxa"/>
            <w:gridSpan w:val="3"/>
            <w:tcBorders>
              <w:top w:val="single" w:sz="12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Prevalence rate of RVHD-related HF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burden</w:t>
            </w:r>
          </w:p>
        </w:tc>
      </w:tr>
      <w:tr w:rsidR="00E372F7" w:rsidTr="00E372F7">
        <w:trPr>
          <w:trHeight w:val="711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Full name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Abbreviated name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 w:rsidP="00D24292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Long-term Changes  (95% UI)/ (%)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 w:rsidP="00D24292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 xml:space="preserve">Short-term Changes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br/>
              <w:t>(95% UI)/ (%)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:vertAlign w:val="superscript"/>
                <w14:ligatures w14:val="none"/>
              </w:rPr>
              <w:t>b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 w:rsidP="00D24292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Long-term Changes  (95% UI)/ (%)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vAlign w:val="center"/>
          </w:tcPr>
          <w:p w:rsidR="00E372F7" w:rsidRDefault="00E372F7" w:rsidP="00D24292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 xml:space="preserve">Short-term Changes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br/>
              <w:t>(95% UI)/ (%)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2"/>
                <w:vertAlign w:val="superscript"/>
                <w14:ligatures w14:val="none"/>
              </w:rPr>
              <w:t>b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Group of 20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G20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-27.64(-35.76 to -20.27)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-3.49(-4.70 to -2.45)</w:t>
            </w:r>
          </w:p>
        </w:tc>
        <w:tc>
          <w:tcPr>
            <w:tcW w:w="292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-8.05(-12.17 to -3.62)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single" w:sz="12" w:space="0" w:color="000000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1.07(-2.62 to 4.72)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European Union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EU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-21.51(-35.01 to -8.73)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-0.72(-3.90 to 1.75)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-13.02(-19.91 to -6.07)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-7.21(-14.51 to -0.69)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United States of America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USA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-8.67(-17.76 to -0.11)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-4.35(-6.93 to -2.03)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-37.78(-45.49 to -28.49)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1.89(-5.22 to 10.79)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Canada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CAN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-36.71(-47.79 to -23.71)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1.34(-7.93 to 12.29)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-7.79(-20.12 to 8.32)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-7.79(-16.8 to 1)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Mexico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MEX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23.04(16.48 to 29.76)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-1.41(-3.01 to 0.09)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-74.53(-77.72 to -70.56)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4.31(-3.55 to 13.15)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Brazil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BRA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18.37(11.3 to 26.13)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-2.76(-4.57 to -0.51)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-43.06(-48.54 to -36.42)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1.18(-4.37 to 7.54)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Argentina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ARG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23.63(10.43 to 41.05)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-0.12(-9.52 to 10.52)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-63.21(-67.78 to -58.1)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-2.74(-11.72 to 7.16)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China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CHN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-22.51(-33.25 to -11.63)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-7.49(-8.74 to -6.42)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-31.83(-39.52 to -23.3)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2.8(-4.17 to 9.82)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Japan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JPN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-34.16(-44.94 to -24.87)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0.11(-0.89 to 1.21)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-28.09(-37.15 to -17.28)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-0.43(-6.42 to 5.85)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Republic of Korea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KOR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-52.99(-66.13 to -38.36)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-0.82(-10.89 to 9.55)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-7.96(-17.52 to 3.55)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-2.87(-10.8 to 5.76)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Indonesia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IDN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16.88(13.31 to 20.43)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0.83(-0.64 to 2.31)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-36.07(-40.98 to -30.88)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3.06(-1.26 to 7.51)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IND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11.48(7.99 to 15.72)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1.90(0.95 to 2.91)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-12.07(-16.12 to -7.93)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0.76(-2.82 to 4.23)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Russian Federation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RUS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12.44(0.96 to 23.06)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-0.06(-0.95 to 0.91)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-66.77(-72.74 to -59.41)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3.16(-5.73 to 11.74)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United Kingdom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GBR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-10.35(-23.16 to 1.61)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-2.61(-4.21 to -1.32)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-43.44(-49.37 to -37.05)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1.94(-4.57 to 9.88)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France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FRA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-41.73(-54.59 to -27.11)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-0.20(-7.56 to 7.51)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-3.77(-17.87 to 11.2)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-5.27(-18.9 to 6.89)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Germany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DEU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-16.64(-35.83 to 1.26)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-0.10(-11.23 to 11.77)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37.01(20.76 to 55.52)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-20.21(-33.04 to -6.47)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Italy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ITA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-31.98(-45.23 to -19.93)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1.09(-0.15 to 2.24)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-3.37(-16.3 to 10.27)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-5.2(-12.9 to 3.64)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Turkey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TUR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-13.4(-25.41 to 1.03)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-1.17(-9.67 to 8.5)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-17.29(-23.47 to -10.22)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2.9(-4.45 to 12.18)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Australia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AUS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-30.76(-44.69 to -16.12)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-0.28(-10.29 to 9.89)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6.22(-5.13 to 18.68)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-4.84(-13.34 to 3.08)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Saudi Arabia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SAU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5.03(-7.07 to 20.62)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-1.09(-9.14 to 7.55)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-51.89(-57.89 to -45.98)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-1.76(-8.24 to 5.02)</w:t>
            </w:r>
          </w:p>
        </w:tc>
      </w:tr>
      <w:tr w:rsidR="00E372F7" w:rsidTr="00E372F7">
        <w:trPr>
          <w:trHeight w:val="395"/>
          <w:jc w:val="center"/>
        </w:trPr>
        <w:tc>
          <w:tcPr>
            <w:tcW w:w="195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South Africa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ZAF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12.58(6.92 to 18.95)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5.71(3.53 to 8.15)</w:t>
            </w:r>
          </w:p>
        </w:tc>
        <w:tc>
          <w:tcPr>
            <w:tcW w:w="292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52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-26.28(-30.15 to -22.12)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2DCDC"/>
          </w:tcPr>
          <w:p w:rsidR="00E372F7" w:rsidRDefault="00E372F7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26" w:type="dxa"/>
            <w:tcBorders>
              <w:top w:val="nil"/>
              <w:left w:val="single" w:sz="8" w:space="0" w:color="auto"/>
              <w:bottom w:val="single" w:sz="12" w:space="0" w:color="000000"/>
              <w:right w:val="nil"/>
            </w:tcBorders>
            <w:shd w:val="clear" w:color="auto" w:fill="F2DCDC"/>
            <w:noWrap/>
            <w:vAlign w:val="center"/>
          </w:tcPr>
          <w:p w:rsidR="00E372F7" w:rsidRDefault="00E372F7">
            <w:pPr>
              <w:widowControl/>
              <w:spacing w:after="0" w:line="240" w:lineRule="auto"/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2"/>
                <w14:ligatures w14:val="none"/>
              </w:rPr>
              <w:t>-0.09(-3.23 to 2.97)</w:t>
            </w:r>
          </w:p>
        </w:tc>
      </w:tr>
    </w:tbl>
    <w:p w:rsidR="0041245F" w:rsidRPr="009C6C9F" w:rsidRDefault="00E372F7" w:rsidP="009C6C9F">
      <w:r>
        <w:rPr>
          <w:rFonts w:ascii="Times New Roman" w:eastAsia="宋体" w:hAnsi="Times New Roman" w:hint="eastAsia"/>
          <w:color w:val="000000"/>
          <w:kern w:val="0"/>
        </w:rPr>
        <w:t xml:space="preserve">NOTE: </w:t>
      </w:r>
      <w:r>
        <w:rPr>
          <w:rFonts w:ascii="Times New Roman" w:eastAsia="宋体" w:hAnsi="Times New Roman"/>
          <w:color w:val="000000"/>
          <w:kern w:val="0"/>
        </w:rPr>
        <w:t>ASPRs= age-standardized prevalence rates, HF=heart failure, NRVHD= non-rheumatic valvular heart disease, RVHD= rheumatic valvular heart disease,95% UI= 95% uncertainty interval.</w:t>
      </w:r>
      <w:r>
        <w:rPr>
          <w:rFonts w:ascii="Times New Roman" w:eastAsia="宋体" w:hAnsi="Times New Roman"/>
          <w:color w:val="000000"/>
          <w:kern w:val="0"/>
        </w:rPr>
        <w:br/>
      </w:r>
      <w:proofErr w:type="spellStart"/>
      <w:r>
        <w:rPr>
          <w:rFonts w:ascii="Times New Roman" w:eastAsia="宋体" w:hAnsi="Times New Roman"/>
          <w:color w:val="000000"/>
          <w:kern w:val="0"/>
          <w:vertAlign w:val="superscript"/>
        </w:rPr>
        <w:lastRenderedPageBreak/>
        <w:t>a</w:t>
      </w:r>
      <w:proofErr w:type="spellEnd"/>
      <w:r>
        <w:rPr>
          <w:rFonts w:ascii="Times New Roman" w:eastAsia="宋体" w:hAnsi="Times New Roman"/>
          <w:color w:val="000000"/>
          <w:kern w:val="0"/>
          <w:vertAlign w:val="superscript"/>
        </w:rPr>
        <w:t xml:space="preserve"> </w:t>
      </w:r>
      <w:proofErr w:type="gramStart"/>
      <w:r>
        <w:rPr>
          <w:rFonts w:ascii="Times New Roman" w:eastAsia="宋体" w:hAnsi="Times New Roman"/>
          <w:color w:val="000000"/>
          <w:kern w:val="0"/>
        </w:rPr>
        <w:t>The</w:t>
      </w:r>
      <w:proofErr w:type="gramEnd"/>
      <w:r>
        <w:rPr>
          <w:rFonts w:ascii="Times New Roman" w:eastAsia="宋体" w:hAnsi="Times New Roman"/>
          <w:color w:val="000000"/>
          <w:kern w:val="0"/>
        </w:rPr>
        <w:t xml:space="preserve"> 1990-2021 was defined as the percentage change in the age-standardized rate of prevalence for NRVHD- and RVHD-related HF burden during the years 1990-2021. The formula was as follows: [(the mean value in 2021 / the mean value in 1990) - 1] * 100. A negative value of Delta represented a decreasing trend of burden, while positive ones indicated an increasing trend.</w:t>
      </w:r>
      <w:r>
        <w:rPr>
          <w:rFonts w:ascii="Times New Roman" w:eastAsia="宋体" w:hAnsi="Times New Roman"/>
          <w:color w:val="000000"/>
          <w:kern w:val="0"/>
        </w:rPr>
        <w:br/>
      </w:r>
      <w:r>
        <w:rPr>
          <w:rFonts w:ascii="Times New Roman" w:eastAsia="宋体" w:hAnsi="Times New Roman"/>
          <w:color w:val="000000"/>
          <w:kern w:val="0"/>
          <w:vertAlign w:val="superscript"/>
        </w:rPr>
        <w:t>b</w:t>
      </w:r>
      <w:r>
        <w:rPr>
          <w:rFonts w:ascii="Times New Roman" w:eastAsia="宋体" w:hAnsi="Times New Roman"/>
          <w:color w:val="000000"/>
          <w:kern w:val="0"/>
        </w:rPr>
        <w:t xml:space="preserve"> </w:t>
      </w:r>
      <w:proofErr w:type="gramStart"/>
      <w:r>
        <w:rPr>
          <w:rFonts w:ascii="Times New Roman" w:eastAsia="宋体" w:hAnsi="Times New Roman"/>
          <w:color w:val="000000"/>
          <w:kern w:val="0"/>
        </w:rPr>
        <w:t>The</w:t>
      </w:r>
      <w:proofErr w:type="gramEnd"/>
      <w:r>
        <w:rPr>
          <w:rFonts w:ascii="Times New Roman" w:eastAsia="宋体" w:hAnsi="Times New Roman"/>
          <w:color w:val="000000"/>
          <w:kern w:val="0"/>
        </w:rPr>
        <w:t xml:space="preserve"> 2019-2021 was defined as the percentage change in the age-standardized rate of prevalence for NRVHD- and RVHD-related HF burden during the years 2019-2021. The formula was as follows: [(the mean value in 2021 / the mean value in 2019) - 1] * 100. A negative value of Delta represented a decreasing trend of burden, while positive ones indicated an increasing trend.</w:t>
      </w:r>
      <w:bookmarkEnd w:id="0"/>
    </w:p>
    <w:sectPr w:rsidR="0041245F" w:rsidRPr="009C6C9F">
      <w:pgSz w:w="16838" w:h="11906" w:orient="landscape"/>
      <w:pgMar w:top="284" w:right="284" w:bottom="284" w:left="28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ED9" w:rsidRDefault="00B21ED9">
      <w:pPr>
        <w:spacing w:line="240" w:lineRule="auto"/>
      </w:pPr>
      <w:r>
        <w:separator/>
      </w:r>
    </w:p>
  </w:endnote>
  <w:endnote w:type="continuationSeparator" w:id="0">
    <w:p w:rsidR="00B21ED9" w:rsidRDefault="00B21E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ED9" w:rsidRDefault="00B21ED9">
      <w:pPr>
        <w:spacing w:after="0"/>
      </w:pPr>
      <w:r>
        <w:separator/>
      </w:r>
    </w:p>
  </w:footnote>
  <w:footnote w:type="continuationSeparator" w:id="0">
    <w:p w:rsidR="00B21ED9" w:rsidRDefault="00B21ED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85B28"/>
    <w:multiLevelType w:val="multilevel"/>
    <w:tmpl w:val="5CB85B28"/>
    <w:lvl w:ilvl="0">
      <w:start w:val="1"/>
      <w:numFmt w:val="decimal"/>
      <w:pStyle w:val="EndNoteBibliography"/>
      <w:lvlText w:val="%1"/>
      <w:lvlJc w:val="left"/>
      <w:pPr>
        <w:ind w:left="440" w:hanging="4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Lancet Global Health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vz0zptxlxt5xletztzva5t9xe2etddxvzff&quot;&gt;GBD References&lt;record-ids&gt;&lt;item&gt;160&lt;/item&gt;&lt;/record-ids&gt;&lt;/item&gt;&lt;/Libraries&gt;"/>
  </w:docVars>
  <w:rsids>
    <w:rsidRoot w:val="0094580A"/>
    <w:rsid w:val="000017D2"/>
    <w:rsid w:val="00066285"/>
    <w:rsid w:val="000858D8"/>
    <w:rsid w:val="000901B2"/>
    <w:rsid w:val="000938EB"/>
    <w:rsid w:val="001152F8"/>
    <w:rsid w:val="001411FB"/>
    <w:rsid w:val="00143DCC"/>
    <w:rsid w:val="00161F67"/>
    <w:rsid w:val="00170062"/>
    <w:rsid w:val="001B0D0D"/>
    <w:rsid w:val="001B3375"/>
    <w:rsid w:val="001E3ED6"/>
    <w:rsid w:val="001E575E"/>
    <w:rsid w:val="001F0F09"/>
    <w:rsid w:val="00252967"/>
    <w:rsid w:val="00271508"/>
    <w:rsid w:val="0027190E"/>
    <w:rsid w:val="00273E22"/>
    <w:rsid w:val="0027510D"/>
    <w:rsid w:val="00275368"/>
    <w:rsid w:val="00277E52"/>
    <w:rsid w:val="00294E34"/>
    <w:rsid w:val="002B4844"/>
    <w:rsid w:val="002C0C99"/>
    <w:rsid w:val="002C3458"/>
    <w:rsid w:val="002D03C6"/>
    <w:rsid w:val="002D4478"/>
    <w:rsid w:val="002E0598"/>
    <w:rsid w:val="002F5E51"/>
    <w:rsid w:val="002F7CFF"/>
    <w:rsid w:val="00307D98"/>
    <w:rsid w:val="00335C72"/>
    <w:rsid w:val="00355BF2"/>
    <w:rsid w:val="00374F43"/>
    <w:rsid w:val="003A2C09"/>
    <w:rsid w:val="003B2008"/>
    <w:rsid w:val="003B623C"/>
    <w:rsid w:val="003E7E30"/>
    <w:rsid w:val="0041245F"/>
    <w:rsid w:val="00415C9F"/>
    <w:rsid w:val="0042649D"/>
    <w:rsid w:val="004470BF"/>
    <w:rsid w:val="004804AC"/>
    <w:rsid w:val="00485560"/>
    <w:rsid w:val="0048739C"/>
    <w:rsid w:val="004B386C"/>
    <w:rsid w:val="004C328F"/>
    <w:rsid w:val="00507B37"/>
    <w:rsid w:val="00523640"/>
    <w:rsid w:val="00532D7F"/>
    <w:rsid w:val="00576E59"/>
    <w:rsid w:val="005A54A1"/>
    <w:rsid w:val="005A655E"/>
    <w:rsid w:val="005E4911"/>
    <w:rsid w:val="00600F6D"/>
    <w:rsid w:val="006261DE"/>
    <w:rsid w:val="006436B8"/>
    <w:rsid w:val="00651B23"/>
    <w:rsid w:val="006967CB"/>
    <w:rsid w:val="006A3B52"/>
    <w:rsid w:val="006A6700"/>
    <w:rsid w:val="006E05B0"/>
    <w:rsid w:val="006E6AEB"/>
    <w:rsid w:val="007134F6"/>
    <w:rsid w:val="00714BFC"/>
    <w:rsid w:val="007529C8"/>
    <w:rsid w:val="00753C4C"/>
    <w:rsid w:val="00766523"/>
    <w:rsid w:val="00770E68"/>
    <w:rsid w:val="00771D74"/>
    <w:rsid w:val="007A450F"/>
    <w:rsid w:val="008210EE"/>
    <w:rsid w:val="00831589"/>
    <w:rsid w:val="00836C0C"/>
    <w:rsid w:val="00864870"/>
    <w:rsid w:val="008C29C0"/>
    <w:rsid w:val="008E4C11"/>
    <w:rsid w:val="008F7739"/>
    <w:rsid w:val="0094580A"/>
    <w:rsid w:val="00965802"/>
    <w:rsid w:val="009B78B7"/>
    <w:rsid w:val="009C6C9F"/>
    <w:rsid w:val="009D43A5"/>
    <w:rsid w:val="00A32D28"/>
    <w:rsid w:val="00A37FEE"/>
    <w:rsid w:val="00A6328C"/>
    <w:rsid w:val="00AA0C06"/>
    <w:rsid w:val="00AA4C27"/>
    <w:rsid w:val="00AD66C5"/>
    <w:rsid w:val="00AD732D"/>
    <w:rsid w:val="00B21ED9"/>
    <w:rsid w:val="00B24807"/>
    <w:rsid w:val="00B539B3"/>
    <w:rsid w:val="00B62E3D"/>
    <w:rsid w:val="00B958CC"/>
    <w:rsid w:val="00BC4BA4"/>
    <w:rsid w:val="00BD19A9"/>
    <w:rsid w:val="00BE3768"/>
    <w:rsid w:val="00C056A0"/>
    <w:rsid w:val="00C31F3F"/>
    <w:rsid w:val="00C45C10"/>
    <w:rsid w:val="00C67BF2"/>
    <w:rsid w:val="00CB0EDB"/>
    <w:rsid w:val="00CF28A6"/>
    <w:rsid w:val="00D04D60"/>
    <w:rsid w:val="00D23DDC"/>
    <w:rsid w:val="00D24292"/>
    <w:rsid w:val="00D36C0F"/>
    <w:rsid w:val="00D90068"/>
    <w:rsid w:val="00D92852"/>
    <w:rsid w:val="00DA5CA1"/>
    <w:rsid w:val="00DC749D"/>
    <w:rsid w:val="00DD1EA0"/>
    <w:rsid w:val="00E05289"/>
    <w:rsid w:val="00E131EB"/>
    <w:rsid w:val="00E33B5B"/>
    <w:rsid w:val="00E372F7"/>
    <w:rsid w:val="00E55408"/>
    <w:rsid w:val="00E808C6"/>
    <w:rsid w:val="00EF2E8C"/>
    <w:rsid w:val="00F45FB6"/>
    <w:rsid w:val="00F531C6"/>
    <w:rsid w:val="00F80C82"/>
    <w:rsid w:val="00F86958"/>
    <w:rsid w:val="00FA0916"/>
    <w:rsid w:val="00FB3A90"/>
    <w:rsid w:val="00FB4B68"/>
    <w:rsid w:val="00FC1AA6"/>
    <w:rsid w:val="00FD4BC3"/>
    <w:rsid w:val="00FF24DB"/>
    <w:rsid w:val="00FF3009"/>
    <w:rsid w:val="324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E4ADB3AD-4886-4FC8-9D20-F1DCA177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Times New Roman" w:eastAsiaTheme="majorEastAsia" w:hAnsi="Times New Roman" w:cstheme="majorBidi"/>
      <w:b/>
      <w:sz w:val="2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Times New Roman" w:eastAsiaTheme="majorEastAsia" w:hAnsi="Times New Roman" w:cstheme="majorBidi"/>
      <w:b/>
      <w:sz w:val="20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a3">
    <w:name w:val="annotation text"/>
    <w:basedOn w:val="a"/>
    <w:link w:val="a4"/>
    <w:uiPriority w:val="99"/>
    <w:unhideWhenUsed/>
    <w:qFormat/>
    <w:pPr>
      <w:spacing w:after="0" w:line="240" w:lineRule="auto"/>
    </w:pPr>
    <w:rPr>
      <w:sz w:val="21"/>
      <w:szCs w:val="22"/>
      <w14:ligatures w14:val="none"/>
    </w:rPr>
  </w:style>
  <w:style w:type="paragraph" w:styleId="TOC5">
    <w:name w:val="toc 5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pPr>
      <w:spacing w:after="0"/>
    </w:pPr>
    <w:rPr>
      <w:rFonts w:eastAsiaTheme="minorHAnsi"/>
      <w:smallCaps/>
      <w:szCs w:val="22"/>
    </w:rPr>
  </w:style>
  <w:style w:type="paragraph" w:styleId="TOC8">
    <w:name w:val="toc 8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spacing w:before="360" w:after="360"/>
    </w:pPr>
    <w:rPr>
      <w:rFonts w:eastAsiaTheme="minorHAnsi"/>
      <w:b/>
      <w:bCs/>
      <w:caps/>
      <w:szCs w:val="22"/>
      <w:u w:val="single"/>
    </w:rPr>
  </w:style>
  <w:style w:type="paragraph" w:styleId="TOC4">
    <w:name w:val="toc 4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ab">
    <w:name w:val="Subtitle"/>
    <w:basedOn w:val="a"/>
    <w:next w:val="a"/>
    <w:link w:val="ac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TOC6">
    <w:name w:val="toc 6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pPr>
      <w:spacing w:after="0"/>
    </w:pPr>
    <w:rPr>
      <w:rFonts w:ascii="Times New Roman" w:eastAsiaTheme="minorHAnsi" w:hAnsi="Times New Roman"/>
      <w:b/>
      <w:bCs/>
      <w:smallCaps/>
      <w:szCs w:val="22"/>
      <w:u w:val="single"/>
    </w:rPr>
  </w:style>
  <w:style w:type="paragraph" w:styleId="TOC9">
    <w:name w:val="toc 9"/>
    <w:basedOn w:val="a"/>
    <w:next w:val="a"/>
    <w:autoRedefine/>
    <w:uiPriority w:val="39"/>
    <w:unhideWhenUsed/>
    <w:qFormat/>
    <w:pPr>
      <w:spacing w:after="0"/>
    </w:pPr>
    <w:rPr>
      <w:rFonts w:eastAsiaTheme="minorHAnsi"/>
      <w:szCs w:val="22"/>
    </w:rPr>
  </w:style>
  <w:style w:type="paragraph" w:styleId="ad">
    <w:name w:val="Title"/>
    <w:basedOn w:val="a"/>
    <w:next w:val="a"/>
    <w:link w:val="ae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f">
    <w:name w:val="Table Grid"/>
    <w:basedOn w:val="a1"/>
    <w:uiPriority w:val="59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Theme="majorEastAsia" w:hAnsi="Times New Roman" w:cstheme="majorBidi"/>
      <w:b/>
      <w:sz w:val="20"/>
      <w:szCs w:val="40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3">
    <w:name w:val="Quote"/>
    <w:basedOn w:val="a"/>
    <w:next w:val="a"/>
    <w:link w:val="af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29"/>
    <w:qFormat/>
    <w:rPr>
      <w:i/>
      <w:iCs/>
      <w:color w:val="404040" w:themeColor="text1" w:themeTint="BF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明显引用 字符"/>
    <w:basedOn w:val="a0"/>
    <w:link w:val="af6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EndNoteBibliography">
    <w:name w:val="EndNote Bibliography"/>
    <w:basedOn w:val="a"/>
    <w:link w:val="EndNoteBibliography0"/>
    <w:qFormat/>
    <w:pPr>
      <w:numPr>
        <w:numId w:val="1"/>
      </w:numPr>
      <w:spacing w:after="0" w:line="240" w:lineRule="auto"/>
      <w:jc w:val="both"/>
    </w:pPr>
    <w:rPr>
      <w:rFonts w:ascii="Times New Roman" w:hAnsi="Times New Roman" w:cs="Times New Roman"/>
      <w:sz w:val="20"/>
      <w:szCs w:val="22"/>
      <w14:ligatures w14:val="none"/>
    </w:rPr>
  </w:style>
  <w:style w:type="character" w:customStyle="1" w:styleId="EndNoteBibliography0">
    <w:name w:val="EndNote Bibliography 字符"/>
    <w:basedOn w:val="a0"/>
    <w:link w:val="EndNoteBibliography"/>
    <w:qFormat/>
    <w:rPr>
      <w:rFonts w:ascii="Times New Roman" w:hAnsi="Times New Roman" w:cs="Times New Roman"/>
      <w:sz w:val="20"/>
      <w:szCs w:val="22"/>
      <w14:ligatures w14:val="non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3">
    <w:name w:val="样式1"/>
    <w:basedOn w:val="1"/>
    <w:link w:val="14"/>
    <w:qFormat/>
    <w:rPr>
      <w:rFonts w:ascii="Times New Roman" w:eastAsia="宋体" w:hAnsi="Times New Roman"/>
      <w:b/>
      <w:bCs/>
      <w:color w:val="auto"/>
      <w:sz w:val="22"/>
    </w:rPr>
  </w:style>
  <w:style w:type="character" w:customStyle="1" w:styleId="14">
    <w:name w:val="样式1 字符"/>
    <w:basedOn w:val="10"/>
    <w:link w:val="13"/>
    <w:rPr>
      <w:rFonts w:ascii="Times New Roman" w:eastAsia="宋体" w:hAnsi="Times New Roman" w:cstheme="majorBidi"/>
      <w:b/>
      <w:bCs/>
      <w:color w:val="0F4761" w:themeColor="accent1" w:themeShade="BF"/>
      <w:sz w:val="48"/>
      <w:szCs w:val="48"/>
    </w:rPr>
  </w:style>
  <w:style w:type="character" w:customStyle="1" w:styleId="a4">
    <w:name w:val="批注文字 字符"/>
    <w:basedOn w:val="a0"/>
    <w:link w:val="a3"/>
    <w:uiPriority w:val="99"/>
    <w:qFormat/>
    <w:rPr>
      <w:sz w:val="21"/>
      <w:szCs w:val="22"/>
      <w14:ligatures w14:val="none"/>
    </w:rPr>
  </w:style>
  <w:style w:type="paragraph" w:customStyle="1" w:styleId="EndNoteBibliographyTitle">
    <w:name w:val="EndNote Bibliography Title"/>
    <w:basedOn w:val="a"/>
    <w:link w:val="EndNoteBibliographyTitle0"/>
    <w:qFormat/>
    <w:pPr>
      <w:spacing w:after="0"/>
      <w:jc w:val="center"/>
    </w:pPr>
    <w:rPr>
      <w:rFonts w:ascii="Times New Roman" w:hAnsi="Times New Roman" w:cs="Times New Roman"/>
      <w:sz w:val="20"/>
    </w:rPr>
  </w:style>
  <w:style w:type="character" w:customStyle="1" w:styleId="EndNoteBibliographyTitle0">
    <w:name w:val="EndNote Bibliography Title 字符"/>
    <w:basedOn w:val="EndNoteBibliography0"/>
    <w:link w:val="EndNoteBibliographyTitle"/>
    <w:qFormat/>
    <w:rPr>
      <w:rFonts w:ascii="Times New Roman" w:hAnsi="Times New Roman" w:cs="Times New Roman"/>
      <w:sz w:val="20"/>
      <w:szCs w:val="22"/>
      <w14:ligatures w14:val="none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b/>
      <w:bCs/>
      <w:color w:val="000000"/>
      <w:sz w:val="16"/>
      <w:szCs w:val="16"/>
      <w:u w:val="none"/>
      <w:vertAlign w:val="superscript"/>
    </w:r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000000"/>
      <w:sz w:val="16"/>
      <w:szCs w:val="16"/>
      <w:u w:val="none"/>
      <w:vertAlign w:val="superscript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71">
    <w:name w:val="font71"/>
    <w:basedOn w:val="a0"/>
    <w:rPr>
      <w:rFonts w:ascii="宋体" w:eastAsia="宋体" w:hAnsi="宋体" w:hint="eastAsia"/>
      <w:b/>
      <w:bCs/>
      <w:color w:val="000000"/>
      <w:sz w:val="16"/>
      <w:szCs w:val="16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b/>
      <w:bCs/>
      <w:color w:val="000000"/>
      <w:sz w:val="16"/>
      <w:szCs w:val="16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b/>
      <w:bCs/>
      <w:color w:val="000000"/>
      <w:sz w:val="16"/>
      <w:szCs w:val="16"/>
      <w:u w:val="none"/>
      <w:vertAlign w:val="superscript"/>
    </w:rPr>
  </w:style>
  <w:style w:type="character" w:customStyle="1" w:styleId="font91">
    <w:name w:val="font91"/>
    <w:basedOn w:val="a0"/>
    <w:rPr>
      <w:rFonts w:ascii="Times New Roman" w:hAnsi="Times New Roman" w:cs="Times New Roman" w:hint="default"/>
      <w:color w:val="000000"/>
      <w:sz w:val="16"/>
      <w:szCs w:val="16"/>
      <w:u w:val="none"/>
      <w:vertAlign w:val="superscript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bCs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6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43EA6-20CF-42BB-884E-20D22540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797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箫 张</dc:creator>
  <cp:lastModifiedBy>Maggie Si</cp:lastModifiedBy>
  <cp:revision>6</cp:revision>
  <dcterms:created xsi:type="dcterms:W3CDTF">2025-04-18T14:23:00Z</dcterms:created>
  <dcterms:modified xsi:type="dcterms:W3CDTF">2025-05-21T02:51:00Z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eyJoZGlkIjoiMTdjMjE3YTJjM2U0NGZkZmUwOTJjYjY1YzNjZTk5NjQiLCJ1c2VySWQiOiI0NDU2OTYxMTgifQ==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F534A20511024F76BB4D2E99DA3A7A7E_12</vt:lpwstr>
  </property>
  <property fmtid="{D5CDD505-2E9C-101B-9397-08002B2CF9AE}" pid="5" name="GrammarlyDocumentId">
    <vt:lpwstr>aa877184bb48128ffa764945adc6a98ec53c677692148f68b5e4cdffc44668be</vt:lpwstr>
  </property>
</Properties>
</file>